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4.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leaf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56"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49"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7"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_{max} or PET) of the largest versus smallest trees included in GLS model with a DBH x temperature interaction (Anderson-Teixeira et al., in review). In column (b), understory trees have more negative responses to high growing season temperatures across eight New England forests, (Rollinson et al. (2021)).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w:t>
      </w:r>
      <m:oMath>
        <m:sSub>
          <m:e>
            <m:r>
              <m:t>T</m:t>
            </m:r>
          </m:e>
          <m:sub>
            <m:r>
              <m:t>m</m:t>
            </m:r>
            <m:r>
              <m:t>a</m:t>
            </m:r>
            <m:r>
              <m:t>x</m:t>
            </m:r>
          </m:sub>
        </m:sSub>
      </m:oMath>
      <w:r>
        <w:t xml:space="preserve"> </w:t>
      </w:r>
      <w:r>
        <w:t xml:space="preserve">or PET) of the largest versus smallest trees included in GLS model with a DBH x temperature interaction (Anderson-Teixeira et al., in review). In column (b), understory trees have more negative responses to high growing season temperatures across eight New England forests, (</w:t>
      </w:r>
      <w:r>
        <w:t xml:space="preserve">Rollinson</w:t>
      </w:r>
      <w:r>
        <w:t xml:space="preserve"> </w:t>
      </w:r>
      <w:r>
        <w:rPr>
          <w:i/>
        </w:rPr>
        <w:t xml:space="preserve">et al.</w:t>
      </w:r>
      <w:r>
        <w:t xml:space="preserve"> </w:t>
      </w:r>
      <w:r>
        <w:t xml:space="preserve">(2021)</w:t>
      </w:r>
      <w:r>
        <w:t xml:space="preserve">).</w:t>
      </w:r>
      <w:r>
        <w:t xml:space="preserve"> </w:t>
      </w:r>
      <w:hyperlink r:id="rId46">
        <w:r>
          <w:rPr>
            <w:rStyle w:val="Hyperlink"/>
          </w:rPr>
          <w:t xml:space="preserve">ISSUE # 29</w:t>
        </w:r>
      </w:hyperlink>
      <w:r>
        <w:t xml:space="preserve">.</w:t>
      </w:r>
    </w:p>
    <w:bookmarkEnd w:id="47"/>
    <w:bookmarkStart w:id="48"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w:t>
      </w:r>
      <m:oMath>
        <m:r>
          <m:t>64</m:t>
        </m:r>
      </m:oMath>
      <w:r>
        <w:t xml:space="preserve">ANPP_{woody}</w:t>
      </w:r>
      <m:oMath>
        <m:r>
          <m:t>)</m:t>
        </m:r>
        <m:r>
          <m:t>a</m:t>
        </m:r>
        <m:r>
          <m:t>n</m:t>
        </m:r>
        <m:r>
          <m:t>d</m:t>
        </m:r>
        <m:r>
          <m:t>m</m:t>
        </m:r>
        <m:r>
          <m:t>o</m:t>
        </m:r>
        <m:r>
          <m:t>r</m:t>
        </m:r>
        <m:r>
          <m:t>t</m:t>
        </m:r>
        <m:r>
          <m:t>a</m:t>
        </m:r>
        <m:r>
          <m:t>l</m:t>
        </m:r>
        <m:r>
          <m:t>i</m:t>
        </m:r>
        <m:r>
          <m:t>t</m:t>
        </m:r>
        <m:r>
          <m:t>y</m:t>
        </m:r>
        <m:r>
          <m:t>(</m:t>
        </m:r>
      </m:oMath>
      <w:r>
        <w:t xml:space="preserve">M_{woody}$), with trees $</w:t>
      </w:r>
      <w:r>
        <w:t xml:space="preserve">$10cm DBH usually contributing $&gt;$85%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8"/>
    <w:bookmarkEnd w:id="49"/>
    <w:bookmarkStart w:id="50"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0"/>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1"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1"/>
    <w:bookmarkStart w:id="52"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2"/>
    <w:bookmarkEnd w:id="53"/>
    <w:bookmarkStart w:id="57"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6"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4"/>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5">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6"/>
    <w:bookmarkEnd w:id="57"/>
    <w:bookmarkStart w:id="58"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8"/>
    <w:bookmarkStart w:id="59"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59"/>
    <w:bookmarkStart w:id="255" w:name="references"/>
    <w:p>
      <w:pPr>
        <w:pStyle w:val="Heading2"/>
      </w:pPr>
      <w:r>
        <w:t xml:space="preserve">References</w:t>
      </w:r>
    </w:p>
    <w:bookmarkStart w:id="254"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69"/>
    <w:bookmarkStart w:id="70"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0"/>
    <w:bookmarkStart w:id="71"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1"/>
    <w:bookmarkStart w:id="72"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2"/>
    <w:bookmarkStart w:id="73"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3"/>
    <w:bookmarkStart w:id="74"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4"/>
    <w:bookmarkStart w:id="75"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5"/>
    <w:bookmarkStart w:id="76"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6"/>
    <w:bookmarkStart w:id="77"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7"/>
    <w:bookmarkStart w:id="78"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8"/>
    <w:bookmarkStart w:id="79"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79"/>
    <w:bookmarkStart w:id="80"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1"/>
    <w:bookmarkStart w:id="82"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2"/>
    <w:bookmarkStart w:id="83"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3"/>
    <w:bookmarkStart w:id="84"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4"/>
    <w:bookmarkStart w:id="85"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5"/>
    <w:bookmarkStart w:id="86"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4"/>
    <w:bookmarkStart w:id="95"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5"/>
    <w:bookmarkStart w:id="96"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6"/>
    <w:bookmarkStart w:id="97"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7"/>
    <w:bookmarkStart w:id="98"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8"/>
    <w:bookmarkStart w:id="99"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9"/>
    <w:bookmarkStart w:id="100"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0"/>
    <w:bookmarkStart w:id="101"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1"/>
    <w:bookmarkStart w:id="10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2"/>
    <w:bookmarkStart w:id="10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3"/>
    <w:bookmarkStart w:id="104"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04"/>
    <w:bookmarkStart w:id="105"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5"/>
    <w:bookmarkStart w:id="106"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6"/>
    <w:bookmarkStart w:id="107"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7"/>
    <w:bookmarkStart w:id="108"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8"/>
    <w:bookmarkStart w:id="10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9"/>
    <w:bookmarkStart w:id="11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0"/>
    <w:bookmarkStart w:id="111"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3"/>
    <w:bookmarkStart w:id="11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4"/>
    <w:bookmarkStart w:id="11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5"/>
    <w:bookmarkStart w:id="11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6"/>
    <w:bookmarkStart w:id="11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7"/>
    <w:bookmarkStart w:id="11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8"/>
    <w:bookmarkStart w:id="11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9"/>
    <w:bookmarkStart w:id="12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0"/>
    <w:bookmarkStart w:id="12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1"/>
    <w:bookmarkStart w:id="122"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2"/>
    <w:bookmarkStart w:id="123"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3"/>
    <w:bookmarkStart w:id="124"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4"/>
    <w:bookmarkStart w:id="125"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5"/>
    <w:bookmarkStart w:id="126"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6"/>
    <w:bookmarkStart w:id="127"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7"/>
    <w:bookmarkStart w:id="128"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8"/>
    <w:bookmarkStart w:id="129"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9"/>
    <w:bookmarkStart w:id="130"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0"/>
    <w:bookmarkStart w:id="131"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1"/>
    <w:bookmarkStart w:id="132"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2"/>
    <w:bookmarkStart w:id="133"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3"/>
    <w:bookmarkStart w:id="134"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4"/>
    <w:bookmarkStart w:id="13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5"/>
    <w:bookmarkStart w:id="136"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6"/>
    <w:bookmarkStart w:id="13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7"/>
    <w:bookmarkStart w:id="13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8"/>
    <w:bookmarkStart w:id="13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9"/>
    <w:bookmarkStart w:id="140"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43"/>
    <w:bookmarkStart w:id="144"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4"/>
    <w:bookmarkStart w:id="145"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5"/>
    <w:bookmarkStart w:id="146"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8"/>
    <w:bookmarkStart w:id="149"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9"/>
    <w:bookmarkStart w:id="150"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0"/>
    <w:bookmarkStart w:id="151"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1"/>
    <w:bookmarkStart w:id="152"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2"/>
    <w:bookmarkStart w:id="153"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3"/>
    <w:bookmarkStart w:id="154"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4"/>
    <w:bookmarkStart w:id="155"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5"/>
    <w:bookmarkStart w:id="156"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6"/>
    <w:bookmarkStart w:id="157"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7"/>
    <w:bookmarkStart w:id="158"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8"/>
    <w:bookmarkStart w:id="159"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9"/>
    <w:bookmarkStart w:id="160"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60"/>
    <w:bookmarkStart w:id="16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1"/>
    <w:bookmarkStart w:id="162"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2"/>
    <w:bookmarkStart w:id="16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3"/>
    <w:bookmarkStart w:id="16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4"/>
    <w:bookmarkStart w:id="16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5"/>
    <w:bookmarkStart w:id="16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6"/>
    <w:bookmarkStart w:id="16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7"/>
    <w:bookmarkStart w:id="168"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8"/>
    <w:bookmarkStart w:id="169"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9"/>
    <w:bookmarkStart w:id="170" w:name="X30d206372820a5cc0303cc917b97fe6ff34d628"/>
    <w:p>
      <w:pPr>
        <w:pStyle w:val="Bibliography"/>
      </w:pPr>
      <w:r>
        <w:rPr>
          <w:b w:val="0"/>
          <w:b/>
        </w:rPr>
        <w:t xml:space="preserve">Niinemets U</w:t>
      </w:r>
      <w:r>
        <w:rPr>
          <w:b/>
        </w:rPr>
        <w:t xml:space="preserve">,</w:t>
      </w:r>
      <w:r>
        <w:rPr>
          <w:b/>
        </w:rPr>
        <w:t xml:space="preserve"> </w:t>
      </w:r>
      <w:r>
        <w:rPr>
          <w:b w:val="0"/>
          <w:b/>
        </w:rPr>
        <w:t xml:space="preserve">Copolovici L</w:t>
      </w:r>
      <w:r>
        <w:rPr>
          <w:b/>
        </w:rPr>
        <w:t xml:space="preserve">,</w:t>
      </w:r>
      <w:r>
        <w:rPr>
          <w:b/>
        </w:rPr>
        <w:t xml:space="preserve"> </w:t>
      </w:r>
      <w:r>
        <w:rPr>
          <w:b w:val="0"/>
          <w:b/>
        </w:rPr>
        <w:t xml:space="preserve">Hueve K</w:t>
      </w:r>
      <w:r>
        <w:t xml:space="preserve">.</w:t>
      </w:r>
      <w:r>
        <w:t xml:space="preserve"> </w:t>
      </w:r>
      <w:r>
        <w:rPr>
          <w:b/>
        </w:rPr>
        <w:t xml:space="preserve">2010</w:t>
      </w:r>
      <w:r>
        <w:t xml:space="preserve">. High within-canopy variation in isoprene emission potentials in temperate trees: Implications for predicting canopy-scale isoprene fluxes.</w:t>
      </w:r>
      <w:r>
        <w:t xml:space="preserve"> </w:t>
      </w:r>
      <w:r>
        <w:rPr>
          <w:i/>
        </w:rPr>
        <w:t xml:space="preserve">J. Geophys. Res.-Biogeosci.</w:t>
      </w:r>
      <w:r>
        <w:t xml:space="preserve"> </w:t>
      </w:r>
      <w:r>
        <w:rPr>
          <w:b/>
        </w:rPr>
        <w:t xml:space="preserve">115</w:t>
      </w:r>
      <w:r>
        <w:t xml:space="preserve">: G04029.</w:t>
      </w:r>
    </w:p>
    <w:bookmarkEnd w:id="170"/>
    <w:bookmarkStart w:id="17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1"/>
    <w:bookmarkStart w:id="17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2"/>
    <w:bookmarkStart w:id="17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3"/>
    <w:bookmarkStart w:id="17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4"/>
    <w:bookmarkStart w:id="17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5"/>
    <w:bookmarkStart w:id="17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6"/>
    <w:bookmarkStart w:id="17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7"/>
    <w:bookmarkStart w:id="17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8"/>
    <w:bookmarkStart w:id="17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9"/>
    <w:bookmarkStart w:id="180"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80"/>
    <w:bookmarkStart w:id="18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1"/>
    <w:bookmarkStart w:id="18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2"/>
    <w:bookmarkStart w:id="18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3"/>
    <w:bookmarkStart w:id="184"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4"/>
    <w:bookmarkStart w:id="18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5"/>
    <w:bookmarkStart w:id="18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6"/>
    <w:bookmarkStart w:id="18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7"/>
    <w:bookmarkStart w:id="188"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8"/>
    <w:bookmarkStart w:id="189"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9"/>
    <w:bookmarkStart w:id="19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90"/>
    <w:bookmarkStart w:id="19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1"/>
    <w:bookmarkStart w:id="192"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2"/>
    <w:bookmarkStart w:id="193"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3"/>
    <w:bookmarkStart w:id="194"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4"/>
    <w:bookmarkStart w:id="195"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5"/>
    <w:bookmarkStart w:id="196"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6"/>
    <w:bookmarkStart w:id="197"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7"/>
    <w:bookmarkStart w:id="19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8"/>
    <w:bookmarkStart w:id="19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9"/>
    <w:bookmarkStart w:id="20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00"/>
    <w:bookmarkStart w:id="201"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1"/>
    <w:bookmarkStart w:id="20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2"/>
    <w:bookmarkStart w:id="203"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3"/>
    <w:bookmarkStart w:id="20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4"/>
    <w:bookmarkStart w:id="205"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05"/>
    <w:bookmarkStart w:id="206"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6"/>
    <w:bookmarkStart w:id="207"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7"/>
    <w:bookmarkStart w:id="208"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8"/>
    <w:bookmarkStart w:id="209"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9"/>
    <w:bookmarkStart w:id="210"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10"/>
    <w:bookmarkStart w:id="211"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11"/>
    <w:bookmarkStart w:id="212"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12"/>
    <w:bookmarkStart w:id="213"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3"/>
    <w:bookmarkStart w:id="214"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4"/>
    <w:bookmarkStart w:id="215"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5"/>
    <w:bookmarkStart w:id="216"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6"/>
    <w:bookmarkStart w:id="217"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7"/>
    <w:bookmarkStart w:id="218"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8"/>
    <w:bookmarkStart w:id="219"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9"/>
    <w:bookmarkStart w:id="220"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20"/>
    <w:bookmarkStart w:id="221"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21"/>
    <w:bookmarkStart w:id="222"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22"/>
    <w:bookmarkStart w:id="223"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23"/>
    <w:bookmarkStart w:id="224"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4"/>
    <w:bookmarkStart w:id="225"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5"/>
    <w:bookmarkStart w:id="226"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26"/>
    <w:bookmarkStart w:id="227"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27"/>
    <w:bookmarkStart w:id="228"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8"/>
    <w:bookmarkStart w:id="22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9"/>
    <w:bookmarkStart w:id="23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30"/>
    <w:bookmarkStart w:id="23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31"/>
    <w:bookmarkStart w:id="23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32"/>
    <w:bookmarkStart w:id="23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33"/>
    <w:bookmarkStart w:id="23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34"/>
    <w:bookmarkStart w:id="23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35"/>
    <w:bookmarkStart w:id="23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36"/>
    <w:bookmarkStart w:id="23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7"/>
    <w:bookmarkStart w:id="23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8"/>
    <w:bookmarkStart w:id="23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9"/>
    <w:bookmarkStart w:id="24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40"/>
    <w:bookmarkStart w:id="24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41"/>
    <w:bookmarkStart w:id="242"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42"/>
    <w:bookmarkStart w:id="243"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43"/>
    <w:bookmarkStart w:id="244"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44"/>
    <w:bookmarkStart w:id="245"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45"/>
    <w:bookmarkStart w:id="246"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46"/>
    <w:bookmarkStart w:id="247"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47"/>
    <w:bookmarkStart w:id="248"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48"/>
    <w:bookmarkStart w:id="249"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9"/>
    <w:bookmarkStart w:id="250"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50"/>
    <w:bookmarkStart w:id="251"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51"/>
    <w:bookmarkStart w:id="252"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52"/>
    <w:bookmarkStart w:id="253"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53"/>
    <w:bookmarkEnd w:id="254"/>
    <w:bookmarkEnd w:id="255"/>
    <w:bookmarkEnd w:id="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4" Target="media/rId5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2021-08-05T00:23:02Z</dcterms:created>
  <dcterms:modified xsi:type="dcterms:W3CDTF">2021-08-05T00:23:02Z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